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1"/>
        </w:numPr>
        <w:bidi w:val="0"/>
        <w:spacing w:lineRule="auto" w:line="276"/>
        <w:jc w:val="left"/>
        <w:rPr/>
      </w:pPr>
      <w:r>
        <w:rPr/>
        <w:t>Piotrków Trybunalski, dnia 20 października 2025 r.</w:t>
      </w:r>
    </w:p>
    <w:p>
      <w:pPr>
        <w:pStyle w:val="Nagwek1"/>
        <w:numPr>
          <w:ilvl w:val="0"/>
          <w:numId w:val="0"/>
        </w:numPr>
        <w:bidi w:val="0"/>
        <w:spacing w:lineRule="auto" w:line="276" w:before="240" w:after="120"/>
        <w:ind w:left="0" w:hanging="0"/>
        <w:jc w:val="left"/>
        <w:rPr>
          <w:sz w:val="28"/>
          <w:szCs w:val="28"/>
        </w:rPr>
      </w:pPr>
      <w:r>
        <w:rPr>
          <w:sz w:val="28"/>
          <w:szCs w:val="28"/>
        </w:rPr>
        <w:t>ZAPYTANIE CENOWE</w:t>
      </w:r>
    </w:p>
    <w:p>
      <w:pPr>
        <w:pStyle w:val="Normal"/>
        <w:bidi w:val="0"/>
        <w:spacing w:lineRule="auto" w:line="276"/>
        <w:jc w:val="left"/>
        <w:rPr/>
      </w:pPr>
      <w:r>
        <w:rPr/>
        <w:t>dotyczące konserwacji urządzenia do przemieszczania osób niepełnosprawnych</w:t>
        <w:br/>
      </w:r>
    </w:p>
    <w:p>
      <w:pPr>
        <w:pStyle w:val="Normal"/>
        <w:bidi w:val="0"/>
        <w:spacing w:lineRule="auto" w:line="276"/>
        <w:jc w:val="left"/>
        <w:rPr/>
      </w:pPr>
      <w:r>
        <w:rPr/>
        <w:t>Środowiskowy Dom Samopomocy</w:t>
      </w:r>
    </w:p>
    <w:p>
      <w:pPr>
        <w:pStyle w:val="Normal"/>
        <w:bidi w:val="0"/>
        <w:spacing w:lineRule="auto" w:line="276"/>
        <w:jc w:val="left"/>
        <w:rPr/>
      </w:pPr>
      <w:r>
        <w:rPr/>
        <w:t>ul. Romana Dmowskiego 20</w:t>
      </w:r>
    </w:p>
    <w:p>
      <w:pPr>
        <w:pStyle w:val="Normal"/>
        <w:bidi w:val="0"/>
        <w:spacing w:lineRule="auto" w:line="276"/>
        <w:jc w:val="left"/>
        <w:rPr/>
      </w:pPr>
      <w:r>
        <w:rPr/>
        <w:t>97-300 Piotrków Trybunalski</w:t>
        <w:br/>
      </w:r>
    </w:p>
    <w:p>
      <w:pPr>
        <w:pStyle w:val="Normal"/>
        <w:bidi w:val="0"/>
        <w:spacing w:lineRule="auto" w:line="276"/>
        <w:jc w:val="left"/>
        <w:rPr/>
      </w:pPr>
      <w:r>
        <w:rPr/>
        <w:t>Środowiskowy Dom Samopomocy w Piotrkowie Trybunalskim zwraca się z prośbą o przedstawienie oferty cenowej na wykonanie usługi konserwacji urządzenia do przemieszczania osób niepełnosprawnych znajdującego się w budynku przy ul. Romana Dmowskiego 20 w Piotrkowie Trybunalskim.</w:t>
      </w:r>
    </w:p>
    <w:p>
      <w:pPr>
        <w:pStyle w:val="Nagwek2"/>
        <w:numPr>
          <w:ilvl w:val="1"/>
          <w:numId w:val="1"/>
        </w:numPr>
        <w:bidi w:val="0"/>
        <w:spacing w:lineRule="auto" w:line="276"/>
        <w:jc w:val="left"/>
        <w:rPr/>
      </w:pPr>
      <w:r>
        <w:rPr/>
        <w:t>Zakres zamówienia:</w:t>
      </w:r>
    </w:p>
    <w:p>
      <w:pPr>
        <w:pStyle w:val="Normal"/>
        <w:bidi w:val="0"/>
        <w:spacing w:lineRule="auto" w:line="276"/>
        <w:jc w:val="left"/>
        <w:rPr/>
      </w:pPr>
      <w:r>
        <w:rPr/>
        <w:t>1. Wykonywanie comiesięcznej konserwacji urządzenia do przemieszczania osób niepełnosprawnych.</w:t>
      </w:r>
    </w:p>
    <w:p>
      <w:pPr>
        <w:pStyle w:val="Normal"/>
        <w:bidi w:val="0"/>
        <w:spacing w:lineRule="auto" w:line="276"/>
        <w:jc w:val="left"/>
        <w:rPr/>
      </w:pPr>
      <w:r>
        <w:rPr/>
        <w:t>2. Wykonawca zobowiązany jest do przestrzegania przepisów ustawy o dozorze technicznym.</w:t>
      </w:r>
    </w:p>
    <w:p>
      <w:pPr>
        <w:pStyle w:val="Normal"/>
        <w:bidi w:val="0"/>
        <w:spacing w:lineRule="auto" w:line="276"/>
        <w:jc w:val="left"/>
        <w:rPr/>
      </w:pPr>
      <w:r>
        <w:rPr/>
        <w:t>3. Wykonawca zobowiązany jest do poddawania urządzenia (UTB) przeglądom konserwacyjnym w terminach uzgodnionych z wymogami dozoru technicznego oraz dokumentacji techniczno-ruchowej.</w:t>
      </w:r>
    </w:p>
    <w:p>
      <w:pPr>
        <w:pStyle w:val="Normal"/>
        <w:bidi w:val="0"/>
        <w:spacing w:lineRule="auto" w:line="276"/>
        <w:jc w:val="left"/>
        <w:rPr/>
      </w:pPr>
      <w:r>
        <w:rPr/>
        <w:t>4. Urządzenie do przemieszczania osób niepełnosprawnych będzie konserwowane nie rzadziej niż co 30 dni.</w:t>
      </w:r>
    </w:p>
    <w:p>
      <w:pPr>
        <w:pStyle w:val="Normal"/>
        <w:bidi w:val="0"/>
        <w:spacing w:lineRule="auto" w:line="276"/>
        <w:jc w:val="left"/>
        <w:rPr/>
      </w:pPr>
      <w:r>
        <w:rPr/>
        <w:t>5. Wykonawca powinien zapewnić prowadzenie dokumentacji konserwacyjnej zgodnie z obowiązującymi przepisami.</w:t>
      </w:r>
    </w:p>
    <w:p>
      <w:pPr>
        <w:pStyle w:val="Nagwek2"/>
        <w:numPr>
          <w:ilvl w:val="1"/>
          <w:numId w:val="1"/>
        </w:numPr>
        <w:bidi w:val="0"/>
        <w:spacing w:lineRule="auto" w:line="276"/>
        <w:jc w:val="left"/>
        <w:rPr/>
      </w:pPr>
      <w:r>
        <w:rPr/>
        <w:t>Termin realizacji:</w:t>
      </w:r>
    </w:p>
    <w:p>
      <w:pPr>
        <w:pStyle w:val="Normal"/>
        <w:bidi w:val="0"/>
        <w:spacing w:lineRule="auto" w:line="276"/>
        <w:jc w:val="left"/>
        <w:rPr/>
      </w:pPr>
      <w:r>
        <w:rPr/>
        <w:t xml:space="preserve">od dnia </w:t>
      </w:r>
      <w:r>
        <w:rPr/>
        <w:t xml:space="preserve">15 listopada </w:t>
      </w:r>
      <w:r>
        <w:rPr/>
        <w:t>202</w:t>
      </w:r>
      <w:r>
        <w:rPr/>
        <w:t>5</w:t>
      </w:r>
      <w:r>
        <w:rPr/>
        <w:t xml:space="preserve"> r. do dnia 31 grudnia 202</w:t>
      </w:r>
      <w:r>
        <w:rPr/>
        <w:t>9</w:t>
      </w:r>
      <w:r>
        <w:rPr/>
        <w:t xml:space="preserve"> r.</w:t>
      </w:r>
    </w:p>
    <w:p>
      <w:pPr>
        <w:pStyle w:val="Nagwek2"/>
        <w:numPr>
          <w:ilvl w:val="1"/>
          <w:numId w:val="1"/>
        </w:numPr>
        <w:bidi w:val="0"/>
        <w:spacing w:lineRule="auto" w:line="276"/>
        <w:jc w:val="left"/>
        <w:rPr/>
      </w:pPr>
      <w:r>
        <w:rPr/>
        <w:t>Wymagania dotyczące oferty:</w:t>
      </w:r>
    </w:p>
    <w:p>
      <w:pPr>
        <w:pStyle w:val="Normal"/>
        <w:bidi w:val="0"/>
        <w:spacing w:lineRule="auto" w:line="276"/>
        <w:jc w:val="left"/>
        <w:rPr/>
      </w:pPr>
      <w:r>
        <w:rPr/>
        <w:t xml:space="preserve">• </w:t>
      </w:r>
      <w:r>
        <w:rPr/>
        <w:t>Cena powinna być podana netto i brutto za 1 miesiąc konserwacji.</w:t>
      </w:r>
    </w:p>
    <w:p>
      <w:pPr>
        <w:pStyle w:val="Normal"/>
        <w:bidi w:val="0"/>
        <w:spacing w:lineRule="auto" w:line="276"/>
        <w:jc w:val="left"/>
        <w:rPr/>
      </w:pPr>
      <w:r>
        <w:rPr/>
        <w:t xml:space="preserve">• </w:t>
      </w:r>
      <w:r>
        <w:rPr/>
        <w:t>Ofertę należy złożyć w formie papierowej lub elektronicznej do dnia 28 października 2025 r.</w:t>
      </w:r>
    </w:p>
    <w:p>
      <w:pPr>
        <w:pStyle w:val="Nagwek2"/>
        <w:numPr>
          <w:ilvl w:val="1"/>
          <w:numId w:val="1"/>
        </w:numPr>
        <w:bidi w:val="0"/>
        <w:spacing w:lineRule="auto" w:line="276"/>
        <w:jc w:val="left"/>
        <w:rPr/>
      </w:pPr>
      <w:r>
        <w:rPr/>
        <w:t>Miejsce złożenia oferty:</w:t>
      </w:r>
    </w:p>
    <w:p>
      <w:pPr>
        <w:pStyle w:val="Normal"/>
        <w:bidi w:val="0"/>
        <w:spacing w:lineRule="auto" w:line="276"/>
        <w:jc w:val="left"/>
        <w:rPr/>
      </w:pPr>
      <w:r>
        <w:rPr/>
        <w:t>Środowiskowy Dom Samopomocy</w:t>
        <w:br/>
        <w:t>ul. Romana Dmowskiego 20</w:t>
        <w:br/>
        <w:t>97-300 Piotrków Trybunalski</w:t>
      </w:r>
    </w:p>
    <w:p>
      <w:pPr>
        <w:pStyle w:val="Normal"/>
        <w:bidi w:val="0"/>
        <w:spacing w:lineRule="auto" w:line="276"/>
        <w:jc w:val="left"/>
        <w:rPr/>
      </w:pPr>
      <w:r>
        <w:rPr/>
        <w:t>lub drogą elektroniczną na adres e-mail: sds@sds.piotrkow.pl</w:t>
      </w:r>
    </w:p>
    <w:p>
      <w:pPr>
        <w:pStyle w:val="Normal"/>
        <w:bidi w:val="0"/>
        <w:spacing w:lineRule="auto" w:line="276"/>
        <w:jc w:val="left"/>
        <w:rPr/>
      </w:pPr>
      <w:r>
        <w:rPr/>
        <w:br/>
      </w:r>
      <w:r>
        <w:rPr/>
        <w:t>Dyrektor Środowiskowego Domu Samopomocy</w:t>
      </w:r>
    </w:p>
    <w:p>
      <w:pPr>
        <w:pStyle w:val="Normal"/>
        <w:bidi w:val="0"/>
        <w:spacing w:lineRule="auto" w:line="276"/>
        <w:jc w:val="left"/>
        <w:rPr/>
      </w:pPr>
      <w:r>
        <w:rPr/>
        <w:t>w Piotrkowie Trybunalskim</w:t>
      </w:r>
    </w:p>
    <w:p>
      <w:pPr>
        <w:pStyle w:val="Normal"/>
        <w:bidi w:val="0"/>
        <w:spacing w:lineRule="auto" w:line="276"/>
        <w:jc w:val="left"/>
        <w:rPr/>
      </w:pPr>
      <w:r>
        <w:rPr/>
        <w:t>Mariusz Bąkiewicz</w:t>
      </w:r>
      <w:r>
        <w:rPr/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>
    <w:name w:val="Heading 1"/>
    <w:basedOn w:val="Nagwek"/>
    <w:next w:val="Tretekstu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retekstu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BookTitle">
    <w:name w:val="Book Title"/>
    <w:qFormat/>
    <w:rPr>
      <w:rFonts w:ascii="Times New Roman" w:hAnsi="Times New Roman" w:eastAsia="Times New Roman" w:cs="Times New Roman"/>
      <w:b/>
      <w:bCs/>
      <w:smallCaps/>
      <w:color w:val="000000"/>
      <w:spacing w:val="5"/>
      <w:sz w:val="24"/>
      <w:szCs w:val="24"/>
    </w:rPr>
  </w:style>
  <w:style w:type="character" w:styleId="IntenseReference">
    <w:name w:val="Intense Reference"/>
    <w:qFormat/>
    <w:rPr>
      <w:rFonts w:ascii="Times New Roman" w:hAnsi="Times New Roman" w:eastAsia="Times New Roman" w:cs="Times New Roman"/>
      <w:b/>
      <w:bCs/>
      <w:smallCaps/>
      <w:color w:val="C0504D"/>
      <w:spacing w:val="5"/>
      <w:sz w:val="24"/>
      <w:szCs w:val="24"/>
      <w:u w:val="single"/>
    </w:rPr>
  </w:style>
  <w:style w:type="character" w:styleId="SubtleReference">
    <w:name w:val="Subtle Reference"/>
    <w:qFormat/>
    <w:rPr>
      <w:rFonts w:ascii="Times New Roman" w:hAnsi="Times New Roman" w:eastAsia="Times New Roman" w:cs="Times New Roman"/>
      <w:smallCaps/>
      <w:color w:val="C0504D"/>
      <w:sz w:val="24"/>
      <w:szCs w:val="24"/>
      <w:u w:val="single"/>
    </w:rPr>
  </w:style>
  <w:style w:type="character" w:styleId="IntenseEmphasis">
    <w:name w:val="Intense Emphasis"/>
    <w:qFormat/>
    <w:rPr>
      <w:rFonts w:ascii="Times New Roman" w:hAnsi="Times New Roman" w:eastAsia="Times New Roman" w:cs="Times New Roman"/>
      <w:b/>
      <w:bCs/>
      <w:i/>
      <w:iCs/>
      <w:color w:val="4F81BD"/>
      <w:sz w:val="24"/>
      <w:szCs w:val="24"/>
    </w:rPr>
  </w:style>
  <w:style w:type="character" w:styleId="SubtleEmphasis">
    <w:name w:val="Subtle Emphasis"/>
    <w:qFormat/>
    <w:rPr>
      <w:rFonts w:ascii="Times New Roman" w:hAnsi="Times New Roman" w:eastAsia="Times New Roman" w:cs="Times New Roman"/>
      <w:i/>
      <w:iCs/>
      <w:color w:val="808080"/>
      <w:sz w:val="24"/>
      <w:szCs w:val="24"/>
    </w:rPr>
  </w:style>
  <w:style w:type="character" w:styleId="IntenseQuoteChar">
    <w:name w:val="Intense Quote Char"/>
    <w:qFormat/>
    <w:rPr>
      <w:rFonts w:ascii="Times New Roman" w:hAnsi="Times New Roman" w:eastAsia="Times New Roman" w:cs="Times New Roman"/>
      <w:b/>
      <w:bCs/>
      <w:i/>
      <w:iCs/>
      <w:color w:val="4F81BD"/>
      <w:sz w:val="24"/>
      <w:szCs w:val="24"/>
    </w:rPr>
  </w:style>
  <w:style w:type="character" w:styleId="Strong">
    <w:name w:val="Strong"/>
    <w:qFormat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character" w:styleId="Heading9Char">
    <w:name w:val="Heading 9 Char"/>
    <w:qFormat/>
    <w:rPr>
      <w:rFonts w:ascii="Calibri" w:hAnsi="Calibri" w:eastAsia="ＭＳ ゴシック" w:cs="0"/>
      <w:i/>
      <w:iCs/>
      <w:color w:val="404040"/>
      <w:sz w:val="20"/>
      <w:szCs w:val="20"/>
    </w:rPr>
  </w:style>
  <w:style w:type="character" w:styleId="Heading8Char">
    <w:name w:val="Heading 8 Char"/>
    <w:qFormat/>
    <w:rPr>
      <w:rFonts w:ascii="Calibri" w:hAnsi="Calibri" w:eastAsia="ＭＳ ゴシック" w:cs="0"/>
      <w:color w:val="4F81BD"/>
      <w:sz w:val="20"/>
      <w:szCs w:val="20"/>
    </w:rPr>
  </w:style>
  <w:style w:type="character" w:styleId="Heading7Char">
    <w:name w:val="Heading 7 Char"/>
    <w:qFormat/>
    <w:rPr>
      <w:rFonts w:ascii="Calibri" w:hAnsi="Calibri" w:eastAsia="ＭＳ ゴシック" w:cs="0"/>
      <w:i/>
      <w:iCs/>
      <w:color w:val="404040"/>
      <w:sz w:val="24"/>
      <w:szCs w:val="24"/>
    </w:rPr>
  </w:style>
  <w:style w:type="character" w:styleId="Heading6Char">
    <w:name w:val="Heading 6 Char"/>
    <w:qFormat/>
    <w:rPr>
      <w:rFonts w:ascii="Calibri" w:hAnsi="Calibri" w:eastAsia="ＭＳ ゴシック" w:cs="0"/>
      <w:i/>
      <w:iCs/>
      <w:color w:val="243F60"/>
      <w:sz w:val="24"/>
      <w:szCs w:val="24"/>
    </w:rPr>
  </w:style>
  <w:style w:type="character" w:styleId="Heading5Char">
    <w:name w:val="Heading 5 Char"/>
    <w:qFormat/>
    <w:rPr>
      <w:rFonts w:ascii="Calibri" w:hAnsi="Calibri" w:eastAsia="ＭＳ ゴシック" w:cs="0"/>
      <w:color w:val="243F60"/>
      <w:sz w:val="24"/>
      <w:szCs w:val="24"/>
    </w:rPr>
  </w:style>
  <w:style w:type="character" w:styleId="Heading4Char">
    <w:name w:val="Heading 4 Char"/>
    <w:qFormat/>
    <w:rPr>
      <w:rFonts w:ascii="Calibri" w:hAnsi="Calibri" w:eastAsia="ＭＳ ゴシック" w:cs="0"/>
      <w:b/>
      <w:bCs/>
      <w:i/>
      <w:iCs/>
      <w:color w:val="4F81BD"/>
      <w:sz w:val="24"/>
      <w:szCs w:val="24"/>
    </w:rPr>
  </w:style>
  <w:style w:type="character" w:styleId="QuoteChar">
    <w:name w:val="Quote Char"/>
    <w:qFormat/>
    <w:rPr>
      <w:rFonts w:ascii="Times New Roman" w:hAnsi="Times New Roman" w:eastAsia="Times New Roman" w:cs="Times New Roman"/>
      <w:i/>
      <w:iCs/>
      <w:color w:val="000000"/>
      <w:sz w:val="24"/>
      <w:szCs w:val="24"/>
    </w:rPr>
  </w:style>
  <w:style w:type="character" w:styleId="MacroTextChar">
    <w:name w:val="Macro Text Char"/>
    <w:qFormat/>
    <w:rPr>
      <w:rFonts w:ascii="Courier" w:hAnsi="Courier" w:eastAsia="Times New Roman" w:cs="Times New Roman"/>
      <w:color w:val="000000"/>
      <w:sz w:val="20"/>
      <w:szCs w:val="20"/>
    </w:rPr>
  </w:style>
  <w:style w:type="character" w:styleId="BodyText3Char">
    <w:name w:val="Body Text 3 Char"/>
    <w:qFormat/>
    <w:rPr>
      <w:rFonts w:ascii="Times New Roman" w:hAnsi="Times New Roman" w:eastAsia="Times New Roman" w:cs="Times New Roman"/>
      <w:color w:val="000000"/>
      <w:sz w:val="16"/>
      <w:szCs w:val="16"/>
    </w:rPr>
  </w:style>
  <w:style w:type="character" w:styleId="BodyText2Char">
    <w:name w:val="Body Text 2 Char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BodyTextChar">
    <w:name w:val="Body Text Char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ubtitleChar">
    <w:name w:val="Subtitle Char"/>
    <w:qFormat/>
    <w:rPr>
      <w:rFonts w:ascii="Calibri" w:hAnsi="Calibri" w:eastAsia="ＭＳ ゴシック" w:cs="0"/>
      <w:i/>
      <w:iCs/>
      <w:color w:val="4F81BD"/>
      <w:spacing w:val="15"/>
    </w:rPr>
  </w:style>
  <w:style w:type="character" w:styleId="TitleChar">
    <w:name w:val="Title Char"/>
    <w:qFormat/>
    <w:rPr>
      <w:rFonts w:ascii="Calibri" w:hAnsi="Calibri" w:eastAsia="ＭＳ ゴシック" w:cs="0"/>
      <w:color w:val="17365D"/>
      <w:spacing w:val="5"/>
      <w:sz w:val="52"/>
      <w:szCs w:val="52"/>
    </w:rPr>
  </w:style>
  <w:style w:type="character" w:styleId="Heading3Char">
    <w:name w:val="Heading 3 Char"/>
    <w:qFormat/>
    <w:rPr>
      <w:rFonts w:ascii="Calibri" w:hAnsi="Calibri" w:eastAsia="ＭＳ ゴシック" w:cs="0"/>
      <w:b/>
      <w:bCs/>
      <w:color w:val="4F81BD"/>
      <w:sz w:val="24"/>
      <w:szCs w:val="24"/>
    </w:rPr>
  </w:style>
  <w:style w:type="character" w:styleId="Heading2Char">
    <w:name w:val="Heading 2 Char"/>
    <w:qFormat/>
    <w:rPr>
      <w:rFonts w:ascii="Calibri" w:hAnsi="Calibri" w:eastAsia="ＭＳ ゴシック" w:cs="0"/>
      <w:b/>
      <w:bCs/>
      <w:color w:val="4F81BD"/>
      <w:sz w:val="26"/>
      <w:szCs w:val="26"/>
    </w:rPr>
  </w:style>
  <w:style w:type="character" w:styleId="Heading1Char">
    <w:name w:val="Heading 1 Char"/>
    <w:qFormat/>
    <w:rPr>
      <w:rFonts w:ascii="Calibri" w:hAnsi="Calibri" w:eastAsia="ＭＳ ゴシック" w:cs="0"/>
      <w:b/>
      <w:bCs/>
      <w:color w:val="365F91"/>
      <w:sz w:val="28"/>
      <w:szCs w:val="28"/>
    </w:rPr>
  </w:style>
  <w:style w:type="character" w:styleId="DefaultParagraphFont">
    <w:name w:val="Default Paragraph Font"/>
    <w:qFormat/>
    <w:rPr/>
  </w:style>
  <w:style w:type="character" w:styleId="FooterChar">
    <w:name w:val="Footer Char"/>
    <w:basedOn w:val="DefaultParagraphFon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HeaderChar">
    <w:name w:val="Header Char"/>
    <w:basedOn w:val="DefaultParagraphFon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/>
    </w:rPr>
  </w:style>
  <w:style w:type="paragraph" w:styleId="Caption">
    <w:name w:val="caption"/>
    <w:basedOn w:val="Normal"/>
    <w:next w:val="Normal"/>
    <w:qFormat/>
    <w:pPr>
      <w:spacing w:lineRule="exact" w:line="240"/>
    </w:pPr>
    <w:rPr>
      <w:b/>
      <w:bCs/>
      <w:color w:val="4F81BD"/>
      <w:sz w:val="18"/>
      <w:szCs w:val="18"/>
    </w:rPr>
  </w:style>
  <w:style w:type="paragraph" w:styleId="Quote">
    <w:name w:val="Quote"/>
    <w:basedOn w:val="Normal"/>
    <w:next w:val="Normal"/>
    <w:qFormat/>
    <w:pPr/>
    <w:rPr>
      <w:i/>
      <w:iCs/>
      <w:color w:val="000000"/>
    </w:rPr>
  </w:style>
  <w:style w:type="paragraph" w:styleId="Macro">
    <w:name w:val="macro"/>
    <w:qFormat/>
    <w:pPr>
      <w:widowControl/>
      <w:tabs>
        <w:tab w:val="clear" w:pos="709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0" w:cs="Arial"/>
      <w:color w:val="auto"/>
      <w:kern w:val="2"/>
      <w:sz w:val="20"/>
      <w:szCs w:val="20"/>
      <w:lang w:val="pl-PL" w:eastAsia="zh-CN" w:bidi="hi-IN"/>
    </w:rPr>
  </w:style>
  <w:style w:type="paragraph" w:styleId="ListContinue3">
    <w:name w:val="List Continue 3"/>
    <w:basedOn w:val="Normal"/>
    <w:qFormat/>
    <w:pPr>
      <w:spacing w:before="0" w:after="120"/>
      <w:ind w:left="1080" w:hanging="0"/>
      <w:contextualSpacing/>
    </w:pPr>
    <w:rPr/>
  </w:style>
  <w:style w:type="paragraph" w:styleId="ListContinue2">
    <w:name w:val="List Continue 2"/>
    <w:basedOn w:val="Normal"/>
    <w:qFormat/>
    <w:pPr>
      <w:spacing w:before="0" w:after="120"/>
      <w:ind w:left="720" w:hanging="0"/>
      <w:contextualSpacing/>
    </w:pPr>
    <w:rPr/>
  </w:style>
  <w:style w:type="paragraph" w:styleId="ListContinue">
    <w:name w:val="List Continue"/>
    <w:basedOn w:val="Normal"/>
    <w:qFormat/>
    <w:pPr>
      <w:spacing w:before="0" w:after="120"/>
      <w:ind w:left="360" w:hanging="0"/>
      <w:contextualSpacing/>
    </w:pPr>
    <w:rPr/>
  </w:style>
  <w:style w:type="paragraph" w:styleId="ListNumber3">
    <w:name w:val="List Number 3"/>
    <w:basedOn w:val="Normal"/>
    <w:qFormat/>
    <w:pPr>
      <w:spacing w:before="0" w:after="0"/>
      <w:contextualSpacing/>
    </w:pPr>
    <w:rPr/>
  </w:style>
  <w:style w:type="paragraph" w:styleId="ListNumber2">
    <w:name w:val="List Number 2"/>
    <w:basedOn w:val="Normal"/>
    <w:qFormat/>
    <w:pPr>
      <w:spacing w:before="0" w:after="0"/>
      <w:contextualSpacing/>
    </w:pPr>
    <w:rPr/>
  </w:style>
  <w:style w:type="paragraph" w:styleId="ListNumber">
    <w:name w:val="List Number"/>
    <w:basedOn w:val="Normal"/>
    <w:qFormat/>
    <w:pPr>
      <w:spacing w:before="0" w:after="0"/>
      <w:contextualSpacing/>
    </w:pPr>
    <w:rPr/>
  </w:style>
  <w:style w:type="paragraph" w:styleId="ListBullet3">
    <w:name w:val="List Bullet 3"/>
    <w:basedOn w:val="Normal"/>
    <w:qFormat/>
    <w:pPr>
      <w:spacing w:before="0" w:after="0"/>
      <w:contextualSpacing/>
    </w:pPr>
    <w:rPr/>
  </w:style>
  <w:style w:type="paragraph" w:styleId="ListBullet2">
    <w:name w:val="List Bullet 2"/>
    <w:basedOn w:val="Normal"/>
    <w:qFormat/>
    <w:pPr>
      <w:spacing w:before="0" w:after="0"/>
      <w:contextualSpacing/>
    </w:pPr>
    <w:rPr/>
  </w:style>
  <w:style w:type="paragraph" w:styleId="ListBullet">
    <w:name w:val="List Bullet"/>
    <w:basedOn w:val="Normal"/>
    <w:qFormat/>
    <w:pPr>
      <w:spacing w:before="0" w:after="0"/>
      <w:contextualSpacing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exact" w:line="480" w:before="0" w:after="120"/>
    </w:pPr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0" w:cs="Arial"/>
      <w:color w:val="auto"/>
      <w:kern w:val="2"/>
      <w:sz w:val="24"/>
      <w:szCs w:val="24"/>
      <w:lang w:val="pl-PL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LibreOffice/7.5.5.2$Windows_X86_64 LibreOffice_project/ca8fe7424262805f223b9a2334bc7181abbcbf5e</Application>
  <AppVersion>15.0000</AppVersion>
  <Pages>1</Pages>
  <Words>201</Words>
  <Characters>1409</Characters>
  <CharactersWithSpaces>1590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2025-10-20T10:25:19Z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